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0A" w:rsidRPr="004C3936" w:rsidRDefault="00B26985" w:rsidP="004C3936">
      <w:pPr>
        <w:jc w:val="center"/>
        <w:rPr>
          <w:color w:val="1F497D" w:themeColor="text2"/>
          <w:sz w:val="40"/>
          <w:szCs w:val="40"/>
        </w:rPr>
      </w:pPr>
      <w:r w:rsidRPr="004C3936">
        <w:rPr>
          <w:color w:val="1F497D" w:themeColor="text2"/>
          <w:sz w:val="40"/>
          <w:szCs w:val="40"/>
        </w:rPr>
        <w:t xml:space="preserve">Appel à projets </w:t>
      </w:r>
      <w:r w:rsidR="006F221C">
        <w:rPr>
          <w:color w:val="1F497D" w:themeColor="text2"/>
          <w:sz w:val="40"/>
          <w:szCs w:val="40"/>
        </w:rPr>
        <w:t>d’enseignement de défense</w:t>
      </w:r>
      <w:bookmarkStart w:id="0" w:name="_GoBack"/>
      <w:bookmarkEnd w:id="0"/>
    </w:p>
    <w:p w:rsidR="003169E9" w:rsidRDefault="003169E9" w:rsidP="004C3936">
      <w:pPr>
        <w:pBdr>
          <w:bottom w:val="single" w:sz="4" w:space="1" w:color="auto"/>
        </w:pBdr>
        <w:jc w:val="center"/>
        <w:rPr>
          <w:b/>
          <w:color w:val="1F497D" w:themeColor="text2"/>
          <w:sz w:val="28"/>
          <w:szCs w:val="28"/>
        </w:rPr>
      </w:pPr>
      <w:r w:rsidRPr="00EC6305">
        <w:rPr>
          <w:b/>
          <w:color w:val="1F497D" w:themeColor="text2"/>
          <w:sz w:val="28"/>
          <w:szCs w:val="28"/>
        </w:rPr>
        <w:t>« Les opérations extérieures »</w:t>
      </w:r>
    </w:p>
    <w:p w:rsidR="004C3936" w:rsidRDefault="004C3936" w:rsidP="003169E9">
      <w:pPr>
        <w:jc w:val="both"/>
      </w:pPr>
    </w:p>
    <w:p w:rsidR="004C3936" w:rsidRDefault="003169E9" w:rsidP="003169E9">
      <w:pPr>
        <w:jc w:val="both"/>
        <w:rPr>
          <w:color w:val="1F497D" w:themeColor="text2"/>
        </w:rPr>
      </w:pPr>
      <w:r>
        <w:t>Après une période qui a vu coexister deux grands cycles commémoratifs (Centenaire de la Grande Guerre et 70</w:t>
      </w:r>
      <w:r>
        <w:rPr>
          <w:vertAlign w:val="superscript"/>
        </w:rPr>
        <w:t>e</w:t>
      </w:r>
      <w:r>
        <w:t xml:space="preserve"> anniversaire de la Seconde Guerre mondiale), </w:t>
      </w:r>
      <w:r w:rsidRPr="004C3936">
        <w:rPr>
          <w:b/>
          <w:color w:val="1F497D" w:themeColor="text2"/>
        </w:rPr>
        <w:t>l’année 2017 sera une année importante pour poser les bases d’une construction de la mémoire des soldats en opérations extérieures.</w:t>
      </w:r>
      <w:r w:rsidRPr="004C3936">
        <w:rPr>
          <w:color w:val="1F497D" w:themeColor="text2"/>
        </w:rPr>
        <w:t xml:space="preserve"> </w:t>
      </w:r>
    </w:p>
    <w:p w:rsidR="003169E9" w:rsidRDefault="003169E9" w:rsidP="003169E9">
      <w:pPr>
        <w:jc w:val="both"/>
      </w:pPr>
      <w:r>
        <w:t>Cette volonté trouve</w:t>
      </w:r>
      <w:r w:rsidR="004C3936">
        <w:t>ra</w:t>
      </w:r>
      <w:r>
        <w:t xml:space="preserve"> une première traduction concrète</w:t>
      </w:r>
      <w:r w:rsidR="00631405">
        <w:t xml:space="preserve"> </w:t>
      </w:r>
      <w:r w:rsidR="004C3936">
        <w:t>le 23 mars 2017, dans le cadre de la cérémonie présidée par le Président de la République en hommage aux soldats morts en opérations extérieures</w:t>
      </w:r>
      <w:r>
        <w:t xml:space="preserve"> </w:t>
      </w:r>
      <w:r w:rsidR="004C3936">
        <w:t>et au</w:t>
      </w:r>
      <w:r>
        <w:t xml:space="preserve"> lancement des travaux du mémorial en hommage aux soldats morts pour la France en opérations, parc André Citroën à Paris.</w:t>
      </w:r>
    </w:p>
    <w:p w:rsidR="003169E9" w:rsidRDefault="003169E9" w:rsidP="003169E9">
      <w:pPr>
        <w:jc w:val="both"/>
      </w:pPr>
      <w:r>
        <w:t xml:space="preserve">Aussi, </w:t>
      </w:r>
      <w:r w:rsidR="00631405">
        <w:t>la Direction de la mémoire, du patrimoine et des archives (DMPA)</w:t>
      </w:r>
      <w:r w:rsidR="004C3936">
        <w:t>, en partenariat avec le ministère de l’éducation nationale, de l’enseignement supérieur et de la recherche (MENESR), de ministère de l’agriculture, de l’agroalimentaire et de la forêt</w:t>
      </w:r>
      <w:r w:rsidR="00631405">
        <w:t xml:space="preserve"> </w:t>
      </w:r>
      <w:r w:rsidR="004C3936">
        <w:t xml:space="preserve">(MINAAF) et l’union des associations d’auditeurs  de l’institut des hautes études de défense nationale (Union-IHDEN), </w:t>
      </w:r>
      <w:r w:rsidR="00631405">
        <w:t>souhaite</w:t>
      </w:r>
      <w:r w:rsidR="00CC17B1">
        <w:t xml:space="preserve"> </w:t>
      </w:r>
      <w:r w:rsidR="00CC17B1" w:rsidRPr="006F221C">
        <w:rPr>
          <w:b/>
          <w:color w:val="1F497D" w:themeColor="text2"/>
        </w:rPr>
        <w:t>accompagner la dynamique mémorielle qui se crée autour de la thématique des opérations extérieures,</w:t>
      </w:r>
      <w:r w:rsidRPr="006F221C">
        <w:rPr>
          <w:b/>
        </w:rPr>
        <w:t xml:space="preserve"> </w:t>
      </w:r>
      <w:r w:rsidRPr="006F221C">
        <w:t xml:space="preserve">dans </w:t>
      </w:r>
      <w:r>
        <w:t xml:space="preserve">une démarche d’hommage à nos soldats, d’information du grand public, </w:t>
      </w:r>
      <w:r w:rsidR="00631405">
        <w:t xml:space="preserve">de valorisation de cette jeune mémoire, </w:t>
      </w:r>
      <w:r>
        <w:t>de pédagogie auprès des plus jeunes et</w:t>
      </w:r>
      <w:r w:rsidR="00631405">
        <w:t xml:space="preserve"> de renforcement du lien armée-Nation</w:t>
      </w:r>
      <w:r>
        <w:t>.</w:t>
      </w:r>
    </w:p>
    <w:p w:rsidR="00CC17B1" w:rsidRDefault="00CC17B1" w:rsidP="003169E9">
      <w:pPr>
        <w:jc w:val="both"/>
      </w:pPr>
      <w:r>
        <w:t xml:space="preserve">Alors que la France connaît un engagement opérationnel exceptionnel sur les théâtres extérieurs, comme sur le terrain national, l’année 2017 est l’occasion d’inscrire cette participation militaire dans une perspective historique qui témoigne </w:t>
      </w:r>
      <w:r w:rsidRPr="004C3936">
        <w:t xml:space="preserve">de la place </w:t>
      </w:r>
      <w:r w:rsidR="00631405" w:rsidRPr="004C3936">
        <w:t>que</w:t>
      </w:r>
      <w:r w:rsidRPr="004C3936">
        <w:t xml:space="preserve"> la France </w:t>
      </w:r>
      <w:r w:rsidR="00631405" w:rsidRPr="004C3936">
        <w:t xml:space="preserve">occupe </w:t>
      </w:r>
      <w:r w:rsidRPr="004C3936">
        <w:t>dans le monde depuis plus de 50 ans. Les opérations extérieures font partie aujourd’hui de l’histoire des conflits contemporains. Aussi, une réflexion sur ce sujet</w:t>
      </w:r>
      <w:r>
        <w:t xml:space="preserve"> permet de </w:t>
      </w:r>
      <w:r w:rsidRPr="004C3936">
        <w:rPr>
          <w:b/>
          <w:color w:val="1F497D" w:themeColor="text2"/>
        </w:rPr>
        <w:t>sensibiliser les plus jeunes à la question de l’engagement, à l’évolution des opérations q</w:t>
      </w:r>
      <w:r w:rsidR="00631405" w:rsidRPr="004C3936">
        <w:rPr>
          <w:b/>
          <w:color w:val="1F497D" w:themeColor="text2"/>
        </w:rPr>
        <w:t>ue la France</w:t>
      </w:r>
      <w:r w:rsidRPr="004C3936">
        <w:rPr>
          <w:b/>
          <w:color w:val="1F497D" w:themeColor="text2"/>
        </w:rPr>
        <w:t xml:space="preserve"> a conduites ainsi qu’aux valeurs inhérentes à la communauté de défense </w:t>
      </w:r>
      <w:r>
        <w:t>qui animent les femmes et les hommes qui ont participé, hier comme aujourd’hui, à des opérations militaires.</w:t>
      </w:r>
    </w:p>
    <w:p w:rsidR="00631405" w:rsidRDefault="00CC17B1" w:rsidP="004C3936">
      <w:pPr>
        <w:pBdr>
          <w:top w:val="single" w:sz="4" w:space="1" w:color="auto"/>
          <w:left w:val="single" w:sz="4" w:space="4" w:color="auto"/>
          <w:bottom w:val="single" w:sz="4" w:space="1" w:color="auto"/>
          <w:right w:val="single" w:sz="4" w:space="4" w:color="auto"/>
        </w:pBdr>
        <w:spacing w:after="0" w:line="240" w:lineRule="auto"/>
        <w:jc w:val="both"/>
      </w:pPr>
      <w:r>
        <w:t>Dans le cadre de cet appel à projets, la Direction de la mémoire, du patrimoine et des archives (DMPA) soutiendra les</w:t>
      </w:r>
      <w:r w:rsidR="003169E9">
        <w:t xml:space="preserve"> actions</w:t>
      </w:r>
      <w:r>
        <w:t xml:space="preserve"> conduites par</w:t>
      </w:r>
      <w:r w:rsidR="003169E9">
        <w:t xml:space="preserve"> </w:t>
      </w:r>
      <w:r>
        <w:t>l</w:t>
      </w:r>
      <w:r w:rsidR="003169E9">
        <w:t>es trinômes</w:t>
      </w:r>
      <w:r>
        <w:t xml:space="preserve"> académiques</w:t>
      </w:r>
      <w:r w:rsidR="003169E9">
        <w:t xml:space="preserve"> sur ce thème (</w:t>
      </w:r>
      <w:r>
        <w:t xml:space="preserve">organisation de </w:t>
      </w:r>
      <w:r w:rsidR="003169E9">
        <w:t xml:space="preserve">colloques </w:t>
      </w:r>
      <w:r>
        <w:t>et</w:t>
      </w:r>
      <w:r w:rsidR="003169E9">
        <w:t xml:space="preserve"> séminaires, rallyes citoyens </w:t>
      </w:r>
      <w:r>
        <w:t>mettant à l’honneur des unités engagées</w:t>
      </w:r>
      <w:r w:rsidR="004C3936">
        <w:t xml:space="preserve"> etc.), dès lors que le contenu de l’action aura reçu un avis favorable de la commission pour la promotion de l’esprit de défense (CPEDEF). </w:t>
      </w:r>
    </w:p>
    <w:p w:rsidR="00631405" w:rsidRDefault="00631405" w:rsidP="00F554C8">
      <w:pPr>
        <w:spacing w:after="0" w:line="240" w:lineRule="auto"/>
        <w:jc w:val="both"/>
      </w:pPr>
    </w:p>
    <w:p w:rsidR="00F554C8" w:rsidRDefault="00F554C8" w:rsidP="00F554C8">
      <w:pPr>
        <w:spacing w:after="0" w:line="240" w:lineRule="auto"/>
        <w:jc w:val="both"/>
        <w:rPr>
          <w:rStyle w:val="lev"/>
          <w:color w:val="1F497D" w:themeColor="text2"/>
          <w:sz w:val="26"/>
          <w:szCs w:val="26"/>
        </w:rPr>
      </w:pPr>
      <w:r w:rsidRPr="00F554C8">
        <w:rPr>
          <w:rStyle w:val="lev"/>
          <w:color w:val="1F497D" w:themeColor="text2"/>
          <w:sz w:val="26"/>
          <w:szCs w:val="26"/>
        </w:rPr>
        <w:t xml:space="preserve">Pour toute précision sur l’appel à projets, pour l’envoi des projets ou  demandes de subventions, contacter le bureau des actions pédagogiques et de l’information (BAPI) de la DMPA : </w:t>
      </w:r>
    </w:p>
    <w:p w:rsidR="00F554C8" w:rsidRPr="00F554C8" w:rsidRDefault="00F554C8" w:rsidP="00F554C8">
      <w:pPr>
        <w:numPr>
          <w:ilvl w:val="0"/>
          <w:numId w:val="10"/>
        </w:numPr>
        <w:spacing w:after="0" w:line="240" w:lineRule="auto"/>
        <w:jc w:val="both"/>
        <w:rPr>
          <w:rStyle w:val="lev"/>
          <w:rFonts w:ascii="Calibri" w:hAnsi="Calibri"/>
          <w:b w:val="0"/>
        </w:rPr>
      </w:pPr>
      <w:r>
        <w:rPr>
          <w:rStyle w:val="lev"/>
          <w:b w:val="0"/>
        </w:rPr>
        <w:t>Par voie postale :</w:t>
      </w:r>
    </w:p>
    <w:p w:rsidR="00F554C8" w:rsidRPr="00F554C8" w:rsidRDefault="00F554C8" w:rsidP="00F554C8">
      <w:pPr>
        <w:spacing w:after="0" w:line="240" w:lineRule="auto"/>
        <w:ind w:left="1069"/>
        <w:jc w:val="both"/>
        <w:rPr>
          <w:rFonts w:ascii="Calibri" w:hAnsi="Calibri"/>
          <w:bCs/>
        </w:rPr>
      </w:pPr>
      <w:r>
        <w:rPr>
          <w:rFonts w:ascii="Calibri" w:hAnsi="Calibri"/>
          <w:bCs/>
        </w:rPr>
        <w:t xml:space="preserve">        </w:t>
      </w:r>
      <w:r w:rsidRPr="00F554C8">
        <w:rPr>
          <w:rFonts w:ascii="Calibri" w:hAnsi="Calibri"/>
          <w:bCs/>
        </w:rPr>
        <w:t xml:space="preserve">DMPA/SDMAE/BAPI </w:t>
      </w:r>
    </w:p>
    <w:p w:rsidR="00F554C8" w:rsidRPr="00F554C8" w:rsidRDefault="00F554C8" w:rsidP="00F554C8">
      <w:pPr>
        <w:spacing w:after="0" w:line="240" w:lineRule="auto"/>
        <w:ind w:left="1429"/>
        <w:jc w:val="both"/>
        <w:rPr>
          <w:rFonts w:ascii="Calibri" w:hAnsi="Calibri"/>
          <w:bCs/>
        </w:rPr>
      </w:pPr>
      <w:r>
        <w:rPr>
          <w:rFonts w:ascii="Calibri" w:hAnsi="Calibri"/>
          <w:bCs/>
        </w:rPr>
        <w:t xml:space="preserve"> </w:t>
      </w:r>
      <w:r w:rsidRPr="00F554C8">
        <w:rPr>
          <w:rFonts w:ascii="Calibri" w:hAnsi="Calibri"/>
          <w:bCs/>
        </w:rPr>
        <w:t xml:space="preserve">60, boulevard du Général Martial </w:t>
      </w:r>
      <w:proofErr w:type="spellStart"/>
      <w:r w:rsidRPr="00F554C8">
        <w:rPr>
          <w:rFonts w:ascii="Calibri" w:hAnsi="Calibri"/>
          <w:bCs/>
        </w:rPr>
        <w:t>Valin</w:t>
      </w:r>
      <w:proofErr w:type="spellEnd"/>
      <w:r w:rsidRPr="00F554C8">
        <w:rPr>
          <w:rFonts w:ascii="Calibri" w:hAnsi="Calibri"/>
          <w:bCs/>
        </w:rPr>
        <w:t xml:space="preserve"> </w:t>
      </w:r>
    </w:p>
    <w:p w:rsidR="00F554C8" w:rsidRDefault="00F554C8" w:rsidP="00F554C8">
      <w:pPr>
        <w:spacing w:after="0" w:line="240" w:lineRule="auto"/>
        <w:ind w:left="1429"/>
        <w:jc w:val="both"/>
        <w:rPr>
          <w:rFonts w:ascii="Calibri" w:hAnsi="Calibri"/>
          <w:bCs/>
        </w:rPr>
      </w:pPr>
      <w:r>
        <w:rPr>
          <w:rFonts w:ascii="Calibri" w:hAnsi="Calibri"/>
          <w:bCs/>
        </w:rPr>
        <w:t xml:space="preserve"> </w:t>
      </w:r>
      <w:r w:rsidRPr="00F554C8">
        <w:rPr>
          <w:rFonts w:ascii="Calibri" w:hAnsi="Calibri"/>
          <w:bCs/>
        </w:rPr>
        <w:t>CS21623 - 75509 Paris Cedex 15</w:t>
      </w:r>
    </w:p>
    <w:p w:rsidR="00F554C8" w:rsidRDefault="00F554C8" w:rsidP="00F554C8">
      <w:pPr>
        <w:numPr>
          <w:ilvl w:val="0"/>
          <w:numId w:val="10"/>
        </w:numPr>
        <w:spacing w:after="0" w:line="240" w:lineRule="auto"/>
        <w:jc w:val="both"/>
        <w:rPr>
          <w:rFonts w:ascii="Calibri" w:hAnsi="Calibri"/>
        </w:rPr>
      </w:pPr>
      <w:r w:rsidRPr="009035B9">
        <w:rPr>
          <w:rFonts w:ascii="Calibri" w:hAnsi="Calibri"/>
        </w:rPr>
        <w:t xml:space="preserve">ou par voie électronique : </w:t>
      </w:r>
      <w:hyperlink r:id="rId6" w:history="1">
        <w:r w:rsidRPr="009035B9">
          <w:rPr>
            <w:rFonts w:ascii="Calibri" w:hAnsi="Calibri"/>
          </w:rPr>
          <w:t>dmpa.bapi.fct@intradef.gouv.fr</w:t>
        </w:r>
      </w:hyperlink>
    </w:p>
    <w:p w:rsidR="00F554C8" w:rsidRPr="009035B9" w:rsidRDefault="00F554C8" w:rsidP="00F554C8">
      <w:pPr>
        <w:numPr>
          <w:ilvl w:val="0"/>
          <w:numId w:val="10"/>
        </w:numPr>
        <w:spacing w:after="0" w:line="240" w:lineRule="auto"/>
        <w:jc w:val="both"/>
        <w:rPr>
          <w:rFonts w:ascii="Calibri" w:hAnsi="Calibri"/>
        </w:rPr>
      </w:pPr>
      <w:r w:rsidRPr="009035B9">
        <w:rPr>
          <w:rFonts w:ascii="Calibri" w:hAnsi="Calibri"/>
        </w:rPr>
        <w:t>téléphone secrétariat BAPI : 09 88 68 20 12</w:t>
      </w:r>
    </w:p>
    <w:p w:rsidR="0086255C" w:rsidRDefault="003169E9" w:rsidP="00F554C8">
      <w:pPr>
        <w:jc w:val="center"/>
        <w:rPr>
          <w:rStyle w:val="lev"/>
          <w:b w:val="0"/>
        </w:rPr>
      </w:pPr>
      <w:r>
        <w:rPr>
          <w:bCs/>
          <w:noProof/>
          <w:lang w:eastAsia="fr-FR"/>
        </w:rPr>
        <w:drawing>
          <wp:inline distT="0" distB="0" distL="0" distR="0" wp14:anchorId="2A4AE3AE" wp14:editId="160D5930">
            <wp:extent cx="5760720" cy="3601125"/>
            <wp:effectExtent l="0" t="0" r="0" b="0"/>
            <wp:docPr id="3" name="Image 3" descr="d:\utilisateurs\c.capelle\AppData\Local\Microsoft\Windows\Temporary Internet Files\Content.Outlook\U9L2OK5D\Une OPEX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c.capelle\AppData\Local\Microsoft\Windows\Temporary Internet Files\Content.Outlook\U9L2OK5D\Une OPEX 1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01125"/>
                    </a:xfrm>
                    <a:prstGeom prst="rect">
                      <a:avLst/>
                    </a:prstGeom>
                    <a:noFill/>
                    <a:ln>
                      <a:noFill/>
                    </a:ln>
                  </pic:spPr>
                </pic:pic>
              </a:graphicData>
            </a:graphic>
          </wp:inline>
        </w:drawing>
      </w:r>
    </w:p>
    <w:p w:rsidR="00EA7AAE" w:rsidRDefault="00EA7AAE" w:rsidP="00EA7AAE">
      <w:pPr>
        <w:jc w:val="center"/>
        <w:rPr>
          <w:rStyle w:val="lev"/>
          <w:b w:val="0"/>
        </w:rPr>
      </w:pPr>
    </w:p>
    <w:p w:rsidR="0086255C" w:rsidRPr="0086255C" w:rsidRDefault="00BA69C7" w:rsidP="0086255C">
      <w:pPr>
        <w:spacing w:after="0" w:line="240" w:lineRule="auto"/>
        <w:jc w:val="center"/>
        <w:rPr>
          <w:bCs/>
          <w:sz w:val="28"/>
          <w:szCs w:val="28"/>
        </w:rPr>
      </w:pPr>
      <w:r w:rsidRPr="0086255C">
        <w:rPr>
          <w:bCs/>
          <w:sz w:val="28"/>
          <w:szCs w:val="28"/>
        </w:rPr>
        <w:t>Consulter la documentation en ligne</w:t>
      </w:r>
      <w:r w:rsidR="0086255C" w:rsidRPr="0086255C">
        <w:rPr>
          <w:bCs/>
          <w:sz w:val="28"/>
          <w:szCs w:val="28"/>
        </w:rPr>
        <w:t xml:space="preserve"> sur </w:t>
      </w:r>
      <w:r w:rsidR="00CC17B1">
        <w:rPr>
          <w:bCs/>
          <w:sz w:val="28"/>
          <w:szCs w:val="28"/>
        </w:rPr>
        <w:t>les sites « Chemins de mémoire » et sur ECPAD</w:t>
      </w:r>
    </w:p>
    <w:p w:rsidR="00BA69C7" w:rsidRPr="0086255C" w:rsidRDefault="00BA69C7" w:rsidP="0086255C">
      <w:pPr>
        <w:spacing w:after="0" w:line="240" w:lineRule="auto"/>
        <w:jc w:val="center"/>
        <w:rPr>
          <w:bCs/>
          <w:sz w:val="28"/>
          <w:szCs w:val="28"/>
        </w:rPr>
      </w:pPr>
    </w:p>
    <w:p w:rsidR="003169E9" w:rsidRDefault="006F221C" w:rsidP="003169E9">
      <w:pPr>
        <w:numPr>
          <w:ilvl w:val="0"/>
          <w:numId w:val="12"/>
        </w:numPr>
        <w:spacing w:after="0" w:line="240" w:lineRule="auto"/>
        <w:rPr>
          <w:rFonts w:ascii="Times New Roman" w:eastAsia="Times New Roman" w:hAnsi="Times New Roman"/>
          <w:sz w:val="24"/>
          <w:szCs w:val="24"/>
          <w:lang w:eastAsia="fr-FR"/>
        </w:rPr>
      </w:pPr>
      <w:hyperlink r:id="rId8" w:history="1">
        <w:r w:rsidR="003169E9">
          <w:rPr>
            <w:rStyle w:val="Lienhypertexte"/>
            <w:rFonts w:ascii="Times New Roman" w:eastAsia="Times New Roman" w:hAnsi="Times New Roman"/>
            <w:sz w:val="24"/>
            <w:szCs w:val="24"/>
            <w:lang w:eastAsia="fr-FR"/>
          </w:rPr>
          <w:t>Le temps des opérations extérieures</w:t>
        </w:r>
      </w:hyperlink>
      <w:r w:rsidR="003169E9">
        <w:rPr>
          <w:rFonts w:ascii="Times New Roman" w:eastAsia="Times New Roman" w:hAnsi="Times New Roman"/>
          <w:sz w:val="24"/>
          <w:szCs w:val="24"/>
          <w:lang w:eastAsia="fr-FR"/>
        </w:rPr>
        <w:t xml:space="preserve">, Michel Goya, </w:t>
      </w:r>
      <w:hyperlink r:id="rId9" w:tgtFrame="_blank" w:history="1">
        <w:r w:rsidR="003169E9">
          <w:rPr>
            <w:rStyle w:val="Lienhypertexte"/>
            <w:rFonts w:ascii="Times New Roman" w:eastAsia="Times New Roman" w:hAnsi="Times New Roman"/>
            <w:i/>
            <w:iCs/>
            <w:sz w:val="24"/>
            <w:szCs w:val="24"/>
            <w:lang w:eastAsia="fr-FR"/>
          </w:rPr>
          <w:t>Les Chemins de la Mémoire</w:t>
        </w:r>
      </w:hyperlink>
      <w:r w:rsidR="003169E9">
        <w:rPr>
          <w:rFonts w:ascii="Times New Roman" w:eastAsia="Times New Roman" w:hAnsi="Times New Roman"/>
          <w:sz w:val="24"/>
          <w:szCs w:val="24"/>
          <w:lang w:eastAsia="fr-FR"/>
        </w:rPr>
        <w:t xml:space="preserve"> 235/avril 2013</w:t>
      </w:r>
    </w:p>
    <w:p w:rsidR="003169E9" w:rsidRDefault="006F221C" w:rsidP="003169E9">
      <w:pPr>
        <w:numPr>
          <w:ilvl w:val="0"/>
          <w:numId w:val="12"/>
        </w:numPr>
        <w:spacing w:after="0" w:line="240" w:lineRule="auto"/>
        <w:rPr>
          <w:rFonts w:ascii="Times New Roman" w:eastAsia="Times New Roman" w:hAnsi="Times New Roman"/>
          <w:sz w:val="24"/>
          <w:szCs w:val="24"/>
          <w:lang w:eastAsia="fr-FR"/>
        </w:rPr>
      </w:pPr>
      <w:hyperlink r:id="rId10" w:history="1">
        <w:r w:rsidR="003169E9">
          <w:rPr>
            <w:rStyle w:val="Lienhypertexte"/>
            <w:rFonts w:ascii="Times New Roman" w:eastAsia="Times New Roman" w:hAnsi="Times New Roman"/>
            <w:sz w:val="24"/>
            <w:szCs w:val="24"/>
            <w:lang w:eastAsia="fr-FR"/>
          </w:rPr>
          <w:t>L'Europe face à la crise yougoslave</w:t>
        </w:r>
      </w:hyperlink>
      <w:r w:rsidR="003169E9">
        <w:rPr>
          <w:rFonts w:ascii="Times New Roman" w:eastAsia="Times New Roman" w:hAnsi="Times New Roman"/>
          <w:sz w:val="24"/>
          <w:szCs w:val="24"/>
          <w:lang w:eastAsia="fr-FR"/>
        </w:rPr>
        <w:t xml:space="preserve">, Frédéric </w:t>
      </w:r>
      <w:proofErr w:type="spellStart"/>
      <w:r w:rsidR="003169E9">
        <w:rPr>
          <w:rFonts w:ascii="Times New Roman" w:eastAsia="Times New Roman" w:hAnsi="Times New Roman"/>
          <w:sz w:val="24"/>
          <w:szCs w:val="24"/>
          <w:lang w:eastAsia="fr-FR"/>
        </w:rPr>
        <w:t>Charillon</w:t>
      </w:r>
      <w:proofErr w:type="spellEnd"/>
      <w:r w:rsidR="003169E9">
        <w:rPr>
          <w:rFonts w:ascii="Times New Roman" w:eastAsia="Times New Roman" w:hAnsi="Times New Roman"/>
          <w:sz w:val="24"/>
          <w:szCs w:val="24"/>
          <w:lang w:eastAsia="fr-FR"/>
        </w:rPr>
        <w:t xml:space="preserve">, </w:t>
      </w:r>
      <w:hyperlink r:id="rId11" w:tgtFrame="_blank" w:history="1">
        <w:r w:rsidR="003169E9">
          <w:rPr>
            <w:rStyle w:val="Lienhypertexte"/>
            <w:rFonts w:ascii="Times New Roman" w:eastAsia="Times New Roman" w:hAnsi="Times New Roman"/>
            <w:i/>
            <w:iCs/>
            <w:sz w:val="24"/>
            <w:szCs w:val="24"/>
            <w:lang w:eastAsia="fr-FR"/>
          </w:rPr>
          <w:t>Les Chemins de la Mémoire</w:t>
        </w:r>
      </w:hyperlink>
      <w:r w:rsidR="003169E9">
        <w:rPr>
          <w:rFonts w:ascii="Times New Roman" w:eastAsia="Times New Roman" w:hAnsi="Times New Roman"/>
          <w:sz w:val="24"/>
          <w:szCs w:val="24"/>
          <w:lang w:eastAsia="fr-FR"/>
        </w:rPr>
        <w:t>, 227/juin 2012</w:t>
      </w:r>
    </w:p>
    <w:p w:rsidR="003169E9" w:rsidRDefault="006F221C" w:rsidP="003169E9">
      <w:pPr>
        <w:numPr>
          <w:ilvl w:val="0"/>
          <w:numId w:val="12"/>
        </w:numPr>
        <w:spacing w:after="0" w:line="240" w:lineRule="auto"/>
        <w:rPr>
          <w:rFonts w:ascii="Times New Roman" w:eastAsia="Times New Roman" w:hAnsi="Times New Roman"/>
          <w:sz w:val="24"/>
          <w:szCs w:val="24"/>
          <w:lang w:eastAsia="fr-FR"/>
        </w:rPr>
      </w:pPr>
      <w:hyperlink r:id="rId12" w:tgtFrame="_blank" w:history="1">
        <w:r w:rsidR="003169E9">
          <w:rPr>
            <w:rStyle w:val="Lienhypertexte"/>
            <w:rFonts w:ascii="Times New Roman" w:eastAsia="Times New Roman" w:hAnsi="Times New Roman"/>
            <w:sz w:val="24"/>
            <w:szCs w:val="24"/>
            <w:lang w:eastAsia="fr-FR"/>
          </w:rPr>
          <w:t>La guerre du Golfe (1990-1991) : Opération Daguet</w:t>
        </w:r>
      </w:hyperlink>
    </w:p>
    <w:p w:rsidR="003169E9" w:rsidRDefault="006F221C" w:rsidP="003169E9">
      <w:pPr>
        <w:numPr>
          <w:ilvl w:val="0"/>
          <w:numId w:val="13"/>
        </w:numPr>
        <w:spacing w:after="0" w:line="240" w:lineRule="auto"/>
        <w:rPr>
          <w:rFonts w:ascii="Times New Roman" w:eastAsia="Times New Roman" w:hAnsi="Times New Roman"/>
          <w:sz w:val="24"/>
          <w:szCs w:val="24"/>
          <w:lang w:eastAsia="fr-FR"/>
        </w:rPr>
      </w:pPr>
      <w:hyperlink r:id="rId13" w:history="1">
        <w:r w:rsidR="003169E9">
          <w:rPr>
            <w:rStyle w:val="Lienhypertexte"/>
            <w:rFonts w:ascii="Times New Roman" w:eastAsia="Times New Roman" w:hAnsi="Times New Roman"/>
            <w:sz w:val="24"/>
            <w:szCs w:val="24"/>
            <w:lang w:eastAsia="fr-FR"/>
          </w:rPr>
          <w:t>L'année 1991, ou l'entrée dans un "entre-deux" stratégique</w:t>
        </w:r>
      </w:hyperlink>
      <w:r w:rsidR="003169E9">
        <w:rPr>
          <w:rFonts w:ascii="Times New Roman" w:eastAsia="Times New Roman" w:hAnsi="Times New Roman"/>
          <w:sz w:val="24"/>
          <w:szCs w:val="24"/>
          <w:lang w:eastAsia="fr-FR"/>
        </w:rPr>
        <w:t xml:space="preserve">, Frédéric </w:t>
      </w:r>
      <w:proofErr w:type="spellStart"/>
      <w:r w:rsidR="003169E9">
        <w:rPr>
          <w:rFonts w:ascii="Times New Roman" w:eastAsia="Times New Roman" w:hAnsi="Times New Roman"/>
          <w:sz w:val="24"/>
          <w:szCs w:val="24"/>
          <w:lang w:eastAsia="fr-FR"/>
        </w:rPr>
        <w:t>Charillon</w:t>
      </w:r>
      <w:proofErr w:type="spellEnd"/>
      <w:r w:rsidR="003169E9">
        <w:rPr>
          <w:rFonts w:ascii="Times New Roman" w:eastAsia="Times New Roman" w:hAnsi="Times New Roman"/>
          <w:sz w:val="24"/>
          <w:szCs w:val="24"/>
          <w:lang w:eastAsia="fr-FR"/>
        </w:rPr>
        <w:t xml:space="preserve">, </w:t>
      </w:r>
      <w:hyperlink r:id="rId14" w:tgtFrame="_blank" w:history="1">
        <w:r w:rsidR="003169E9">
          <w:rPr>
            <w:rStyle w:val="Lienhypertexte"/>
            <w:rFonts w:ascii="Times New Roman" w:eastAsia="Times New Roman" w:hAnsi="Times New Roman"/>
            <w:i/>
            <w:iCs/>
            <w:sz w:val="24"/>
            <w:szCs w:val="24"/>
            <w:lang w:eastAsia="fr-FR"/>
          </w:rPr>
          <w:t>Les Chemins de la Mémoire</w:t>
        </w:r>
      </w:hyperlink>
      <w:r w:rsidR="003169E9">
        <w:rPr>
          <w:rFonts w:ascii="Times New Roman" w:eastAsia="Times New Roman" w:hAnsi="Times New Roman"/>
          <w:sz w:val="24"/>
          <w:szCs w:val="24"/>
          <w:lang w:eastAsia="fr-FR"/>
        </w:rPr>
        <w:t xml:space="preserve"> 211/déc.-janv. 2011</w:t>
      </w:r>
    </w:p>
    <w:p w:rsidR="003169E9" w:rsidRDefault="006F221C" w:rsidP="003169E9">
      <w:pPr>
        <w:numPr>
          <w:ilvl w:val="0"/>
          <w:numId w:val="13"/>
        </w:numPr>
        <w:spacing w:after="0" w:line="240" w:lineRule="auto"/>
        <w:rPr>
          <w:rFonts w:ascii="Times New Roman" w:eastAsia="Times New Roman" w:hAnsi="Times New Roman"/>
          <w:sz w:val="24"/>
          <w:szCs w:val="24"/>
          <w:lang w:eastAsia="fr-FR"/>
        </w:rPr>
      </w:pPr>
      <w:hyperlink r:id="rId15" w:history="1">
        <w:r w:rsidR="003169E9">
          <w:rPr>
            <w:rStyle w:val="Lienhypertexte"/>
            <w:rFonts w:ascii="Times New Roman" w:eastAsia="Times New Roman" w:hAnsi="Times New Roman"/>
            <w:sz w:val="24"/>
            <w:szCs w:val="24"/>
            <w:lang w:eastAsia="fr-FR"/>
          </w:rPr>
          <w:t>"</w:t>
        </w:r>
        <w:proofErr w:type="spellStart"/>
        <w:r w:rsidR="003169E9">
          <w:rPr>
            <w:rStyle w:val="Lienhypertexte"/>
            <w:rFonts w:ascii="Times New Roman" w:eastAsia="Times New Roman" w:hAnsi="Times New Roman"/>
            <w:sz w:val="24"/>
            <w:szCs w:val="24"/>
            <w:lang w:eastAsia="fr-FR"/>
          </w:rPr>
          <w:t>Desert</w:t>
        </w:r>
        <w:proofErr w:type="spellEnd"/>
        <w:r w:rsidR="003169E9">
          <w:rPr>
            <w:rStyle w:val="Lienhypertexte"/>
            <w:rFonts w:ascii="Times New Roman" w:eastAsia="Times New Roman" w:hAnsi="Times New Roman"/>
            <w:sz w:val="24"/>
            <w:szCs w:val="24"/>
            <w:lang w:eastAsia="fr-FR"/>
          </w:rPr>
          <w:t xml:space="preserve"> Storm" et l'opération "Daguet", vingt ans après</w:t>
        </w:r>
      </w:hyperlink>
      <w:r w:rsidR="003169E9">
        <w:rPr>
          <w:rFonts w:ascii="Times New Roman" w:eastAsia="Times New Roman" w:hAnsi="Times New Roman"/>
          <w:sz w:val="24"/>
          <w:szCs w:val="24"/>
          <w:lang w:eastAsia="fr-FR"/>
        </w:rPr>
        <w:t xml:space="preserve">, Guillaume </w:t>
      </w:r>
      <w:proofErr w:type="spellStart"/>
      <w:r w:rsidR="003169E9">
        <w:rPr>
          <w:rFonts w:ascii="Times New Roman" w:eastAsia="Times New Roman" w:hAnsi="Times New Roman"/>
          <w:sz w:val="24"/>
          <w:szCs w:val="24"/>
          <w:lang w:eastAsia="fr-FR"/>
        </w:rPr>
        <w:t>Lasconjarias</w:t>
      </w:r>
      <w:proofErr w:type="spellEnd"/>
      <w:r w:rsidR="003169E9">
        <w:rPr>
          <w:rFonts w:ascii="Times New Roman" w:eastAsia="Times New Roman" w:hAnsi="Times New Roman"/>
          <w:sz w:val="24"/>
          <w:szCs w:val="24"/>
          <w:lang w:eastAsia="fr-FR"/>
        </w:rPr>
        <w:t xml:space="preserve">, </w:t>
      </w:r>
      <w:hyperlink r:id="rId16" w:tgtFrame="_blank" w:history="1">
        <w:r w:rsidR="003169E9">
          <w:rPr>
            <w:rStyle w:val="Lienhypertexte"/>
            <w:rFonts w:ascii="Times New Roman" w:eastAsia="Times New Roman" w:hAnsi="Times New Roman"/>
            <w:i/>
            <w:iCs/>
            <w:sz w:val="24"/>
            <w:szCs w:val="24"/>
            <w:lang w:eastAsia="fr-FR"/>
          </w:rPr>
          <w:t>Les Chemins de la Mémoire</w:t>
        </w:r>
      </w:hyperlink>
      <w:r w:rsidR="003169E9">
        <w:rPr>
          <w:rFonts w:ascii="Times New Roman" w:eastAsia="Times New Roman" w:hAnsi="Times New Roman"/>
          <w:sz w:val="24"/>
          <w:szCs w:val="24"/>
          <w:lang w:eastAsia="fr-FR"/>
        </w:rPr>
        <w:t xml:space="preserve"> 211/déc.-janv. 2011</w:t>
      </w:r>
    </w:p>
    <w:p w:rsidR="003169E9" w:rsidRDefault="006F221C" w:rsidP="003169E9">
      <w:pPr>
        <w:numPr>
          <w:ilvl w:val="0"/>
          <w:numId w:val="13"/>
        </w:numPr>
        <w:spacing w:after="0" w:line="240" w:lineRule="auto"/>
        <w:rPr>
          <w:rFonts w:ascii="Times New Roman" w:eastAsia="Times New Roman" w:hAnsi="Times New Roman"/>
          <w:sz w:val="24"/>
          <w:szCs w:val="24"/>
          <w:lang w:eastAsia="fr-FR"/>
        </w:rPr>
      </w:pPr>
      <w:hyperlink r:id="rId17" w:tgtFrame="_blank" w:history="1">
        <w:r w:rsidR="003169E9">
          <w:rPr>
            <w:rStyle w:val="Lienhypertexte"/>
            <w:rFonts w:ascii="Times New Roman" w:eastAsia="Times New Roman" w:hAnsi="Times New Roman"/>
            <w:sz w:val="24"/>
            <w:szCs w:val="24"/>
            <w:lang w:eastAsia="fr-FR"/>
          </w:rPr>
          <w:t>Les forces françaises dans la guerre de Bosnie, avril 1992-décembre 1995</w:t>
        </w:r>
      </w:hyperlink>
    </w:p>
    <w:p w:rsidR="003169E9" w:rsidRDefault="006F221C" w:rsidP="003169E9">
      <w:pPr>
        <w:numPr>
          <w:ilvl w:val="0"/>
          <w:numId w:val="13"/>
        </w:numPr>
        <w:spacing w:after="0" w:line="240" w:lineRule="auto"/>
        <w:rPr>
          <w:rFonts w:ascii="Times New Roman" w:eastAsia="Times New Roman" w:hAnsi="Times New Roman"/>
          <w:sz w:val="24"/>
          <w:szCs w:val="24"/>
          <w:lang w:eastAsia="fr-FR"/>
        </w:rPr>
      </w:pPr>
      <w:hyperlink r:id="rId18" w:history="1">
        <w:r w:rsidR="003169E9">
          <w:rPr>
            <w:rStyle w:val="Lienhypertexte"/>
            <w:rFonts w:ascii="Times New Roman" w:eastAsia="Times New Roman" w:hAnsi="Times New Roman"/>
            <w:sz w:val="24"/>
            <w:szCs w:val="24"/>
            <w:lang w:eastAsia="fr-FR"/>
          </w:rPr>
          <w:t>Les évacuations de ressortissants</w:t>
        </w:r>
      </w:hyperlink>
      <w:r w:rsidR="003169E9">
        <w:rPr>
          <w:rFonts w:ascii="Times New Roman" w:eastAsia="Times New Roman" w:hAnsi="Times New Roman"/>
          <w:sz w:val="24"/>
          <w:szCs w:val="24"/>
          <w:lang w:eastAsia="fr-FR"/>
        </w:rPr>
        <w:t>, ECPAD, Alexis, Dubois, juin 2009</w:t>
      </w:r>
    </w:p>
    <w:p w:rsidR="003169E9" w:rsidRDefault="006F221C" w:rsidP="003169E9">
      <w:pPr>
        <w:numPr>
          <w:ilvl w:val="0"/>
          <w:numId w:val="13"/>
        </w:numPr>
        <w:spacing w:after="0" w:line="240" w:lineRule="auto"/>
        <w:rPr>
          <w:rFonts w:ascii="Times New Roman" w:eastAsia="Times New Roman" w:hAnsi="Times New Roman"/>
          <w:sz w:val="24"/>
          <w:szCs w:val="24"/>
          <w:lang w:eastAsia="fr-FR"/>
        </w:rPr>
      </w:pPr>
      <w:hyperlink r:id="rId19" w:history="1">
        <w:r w:rsidR="003169E9">
          <w:rPr>
            <w:rStyle w:val="Lienhypertexte"/>
            <w:rFonts w:ascii="Times New Roman" w:eastAsia="Times New Roman" w:hAnsi="Times New Roman"/>
            <w:sz w:val="24"/>
            <w:szCs w:val="24"/>
            <w:lang w:eastAsia="fr-FR"/>
          </w:rPr>
          <w:t>La France et la sécurité en Asie-Pacifique</w:t>
        </w:r>
      </w:hyperlink>
      <w:r w:rsidR="003169E9">
        <w:rPr>
          <w:rFonts w:ascii="Times New Roman" w:eastAsia="Times New Roman" w:hAnsi="Times New Roman"/>
          <w:sz w:val="24"/>
          <w:szCs w:val="24"/>
          <w:lang w:eastAsia="fr-FR"/>
        </w:rPr>
        <w:t>, DGRIS, avril 2014</w:t>
      </w:r>
    </w:p>
    <w:p w:rsidR="003169E9" w:rsidRDefault="006F221C" w:rsidP="003169E9">
      <w:pPr>
        <w:numPr>
          <w:ilvl w:val="0"/>
          <w:numId w:val="14"/>
        </w:numPr>
        <w:spacing w:after="0" w:line="240" w:lineRule="auto"/>
        <w:rPr>
          <w:rFonts w:ascii="Times New Roman" w:eastAsia="Times New Roman" w:hAnsi="Times New Roman"/>
          <w:sz w:val="24"/>
          <w:szCs w:val="24"/>
          <w:lang w:eastAsia="fr-FR"/>
        </w:rPr>
      </w:pPr>
      <w:hyperlink r:id="rId20" w:tgtFrame="_blank" w:history="1">
        <w:r w:rsidR="003169E9">
          <w:rPr>
            <w:rStyle w:val="Lienhypertexte"/>
            <w:rFonts w:ascii="Times New Roman" w:eastAsia="Times New Roman" w:hAnsi="Times New Roman"/>
            <w:sz w:val="24"/>
            <w:szCs w:val="24"/>
            <w:lang w:eastAsia="fr-FR"/>
          </w:rPr>
          <w:t xml:space="preserve">L'intervention en Somalie 1992-1993, Anne-Claire de </w:t>
        </w:r>
        <w:proofErr w:type="spellStart"/>
        <w:r w:rsidR="003169E9">
          <w:rPr>
            <w:rStyle w:val="Lienhypertexte"/>
            <w:rFonts w:ascii="Times New Roman" w:eastAsia="Times New Roman" w:hAnsi="Times New Roman"/>
            <w:sz w:val="24"/>
            <w:szCs w:val="24"/>
            <w:lang w:eastAsia="fr-FR"/>
          </w:rPr>
          <w:t>Gayffier</w:t>
        </w:r>
        <w:proofErr w:type="spellEnd"/>
        <w:r w:rsidR="003169E9">
          <w:rPr>
            <w:rStyle w:val="Lienhypertexte"/>
            <w:rFonts w:ascii="Times New Roman" w:eastAsia="Times New Roman" w:hAnsi="Times New Roman"/>
            <w:sz w:val="24"/>
            <w:szCs w:val="24"/>
            <w:lang w:eastAsia="fr-FR"/>
          </w:rPr>
          <w:t>-Bonneville</w:t>
        </w:r>
      </w:hyperlink>
      <w:r w:rsidR="003169E9">
        <w:rPr>
          <w:rFonts w:ascii="Times New Roman" w:eastAsia="Times New Roman" w:hAnsi="Times New Roman"/>
          <w:sz w:val="24"/>
          <w:szCs w:val="24"/>
          <w:lang w:eastAsia="fr-FR"/>
        </w:rPr>
        <w:t xml:space="preserve">, </w:t>
      </w:r>
      <w:r w:rsidR="003169E9">
        <w:rPr>
          <w:rFonts w:ascii="Times New Roman" w:eastAsia="Times New Roman" w:hAnsi="Times New Roman"/>
          <w:i/>
          <w:iCs/>
          <w:sz w:val="24"/>
          <w:szCs w:val="24"/>
          <w:lang w:eastAsia="fr-FR"/>
        </w:rPr>
        <w:t>RHA</w:t>
      </w:r>
      <w:r w:rsidR="003169E9">
        <w:rPr>
          <w:rFonts w:ascii="Times New Roman" w:eastAsia="Times New Roman" w:hAnsi="Times New Roman"/>
          <w:sz w:val="24"/>
          <w:szCs w:val="24"/>
          <w:lang w:eastAsia="fr-FR"/>
        </w:rPr>
        <w:t> 263/2011</w:t>
      </w:r>
    </w:p>
    <w:p w:rsidR="003169E9" w:rsidRDefault="006F221C" w:rsidP="003169E9">
      <w:pPr>
        <w:numPr>
          <w:ilvl w:val="0"/>
          <w:numId w:val="14"/>
        </w:numPr>
        <w:spacing w:after="0" w:line="240" w:lineRule="auto"/>
        <w:rPr>
          <w:rFonts w:ascii="Times New Roman" w:eastAsia="Times New Roman" w:hAnsi="Times New Roman"/>
          <w:sz w:val="24"/>
          <w:szCs w:val="24"/>
          <w:lang w:eastAsia="fr-FR"/>
        </w:rPr>
      </w:pPr>
      <w:hyperlink r:id="rId21" w:history="1">
        <w:r w:rsidR="003169E9">
          <w:rPr>
            <w:rStyle w:val="Lienhypertexte"/>
            <w:rFonts w:ascii="Times New Roman" w:eastAsia="Times New Roman" w:hAnsi="Times New Roman"/>
            <w:sz w:val="24"/>
            <w:szCs w:val="24"/>
            <w:lang w:eastAsia="fr-FR"/>
          </w:rPr>
          <w:t>50 ans d'OPEX en Afrique (1964-2014)</w:t>
        </w:r>
      </w:hyperlink>
      <w:r w:rsidR="003169E9">
        <w:rPr>
          <w:rFonts w:ascii="Times New Roman" w:eastAsia="Times New Roman" w:hAnsi="Times New Roman"/>
          <w:sz w:val="24"/>
          <w:szCs w:val="24"/>
          <w:lang w:eastAsia="fr-FR"/>
        </w:rPr>
        <w:t xml:space="preserve">, CDEF, </w:t>
      </w:r>
      <w:r w:rsidR="003169E9">
        <w:rPr>
          <w:rFonts w:ascii="Times New Roman" w:eastAsia="Times New Roman" w:hAnsi="Times New Roman"/>
          <w:i/>
          <w:iCs/>
          <w:sz w:val="24"/>
          <w:szCs w:val="24"/>
          <w:lang w:eastAsia="fr-FR"/>
        </w:rPr>
        <w:t>Cahier du RETEX – Recherche</w:t>
      </w:r>
      <w:r w:rsidR="003169E9">
        <w:rPr>
          <w:rFonts w:ascii="Times New Roman" w:eastAsia="Times New Roman" w:hAnsi="Times New Roman"/>
          <w:sz w:val="24"/>
          <w:szCs w:val="24"/>
          <w:lang w:eastAsia="fr-FR"/>
        </w:rPr>
        <w:t xml:space="preserve"> – septembre 2015</w:t>
      </w:r>
    </w:p>
    <w:p w:rsidR="003169E9" w:rsidRDefault="006F221C" w:rsidP="003169E9">
      <w:pPr>
        <w:numPr>
          <w:ilvl w:val="0"/>
          <w:numId w:val="14"/>
        </w:numPr>
        <w:spacing w:after="0" w:line="240" w:lineRule="auto"/>
        <w:rPr>
          <w:rFonts w:ascii="Times New Roman" w:eastAsia="Times New Roman" w:hAnsi="Times New Roman"/>
          <w:sz w:val="24"/>
          <w:szCs w:val="24"/>
          <w:lang w:eastAsia="fr-FR"/>
        </w:rPr>
      </w:pPr>
      <w:hyperlink r:id="rId22" w:history="1">
        <w:r w:rsidR="003169E9">
          <w:rPr>
            <w:rStyle w:val="Lienhypertexte"/>
            <w:rFonts w:ascii="Times New Roman" w:eastAsia="Times New Roman" w:hAnsi="Times New Roman"/>
            <w:sz w:val="24"/>
            <w:szCs w:val="24"/>
            <w:lang w:eastAsia="fr-FR"/>
          </w:rPr>
          <w:t>"Opération Léopard", une intervention humanitaire</w:t>
        </w:r>
      </w:hyperlink>
      <w:hyperlink r:id="rId23" w:history="1">
        <w:r w:rsidR="003169E9">
          <w:rPr>
            <w:rStyle w:val="Lienhypertexte"/>
            <w:rFonts w:ascii="Times New Roman" w:eastAsia="Times New Roman" w:hAnsi="Times New Roman"/>
            <w:sz w:val="24"/>
            <w:szCs w:val="24"/>
            <w:lang w:eastAsia="fr-FR"/>
          </w:rPr>
          <w:t>, Kolwezi 17 mai-16 juin 1978</w:t>
        </w:r>
      </w:hyperlink>
    </w:p>
    <w:p w:rsidR="00A416D0" w:rsidRDefault="00A416D0" w:rsidP="00A416D0">
      <w:pPr>
        <w:spacing w:after="0" w:line="240" w:lineRule="auto"/>
        <w:jc w:val="both"/>
        <w:rPr>
          <w:color w:val="1F497D" w:themeColor="text2"/>
        </w:rPr>
      </w:pPr>
    </w:p>
    <w:sectPr w:rsidR="00A416D0" w:rsidSect="00F554C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792"/>
    <w:multiLevelType w:val="multilevel"/>
    <w:tmpl w:val="4A5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3D20"/>
    <w:multiLevelType w:val="hybridMultilevel"/>
    <w:tmpl w:val="5E78BE9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D437DD1"/>
    <w:multiLevelType w:val="multilevel"/>
    <w:tmpl w:val="17FC9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34270F1"/>
    <w:multiLevelType w:val="multilevel"/>
    <w:tmpl w:val="3E8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3EFB6D0C"/>
    <w:multiLevelType w:val="multilevel"/>
    <w:tmpl w:val="7D56E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734150"/>
    <w:multiLevelType w:val="hybridMultilevel"/>
    <w:tmpl w:val="FE7A4E54"/>
    <w:lvl w:ilvl="0" w:tplc="3060230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1C022DA"/>
    <w:multiLevelType w:val="multilevel"/>
    <w:tmpl w:val="8E6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F526E"/>
    <w:multiLevelType w:val="multilevel"/>
    <w:tmpl w:val="0180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22F11"/>
    <w:multiLevelType w:val="hybridMultilevel"/>
    <w:tmpl w:val="623E744A"/>
    <w:lvl w:ilvl="0" w:tplc="57828B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F0A6ED8"/>
    <w:multiLevelType w:val="hybridMultilevel"/>
    <w:tmpl w:val="2C6A23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C573FEF"/>
    <w:multiLevelType w:val="multilevel"/>
    <w:tmpl w:val="0D98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952F7B"/>
    <w:multiLevelType w:val="multilevel"/>
    <w:tmpl w:val="5DEA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454F5B"/>
    <w:multiLevelType w:val="multilevel"/>
    <w:tmpl w:val="4CA4B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F827AA2"/>
    <w:multiLevelType w:val="hybridMultilevel"/>
    <w:tmpl w:val="FD068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12"/>
  </w:num>
  <w:num w:numId="4">
    <w:abstractNumId w:val="3"/>
  </w:num>
  <w:num w:numId="5">
    <w:abstractNumId w:val="11"/>
  </w:num>
  <w:num w:numId="6">
    <w:abstractNumId w:val="7"/>
  </w:num>
  <w:num w:numId="7">
    <w:abstractNumId w:val="1"/>
  </w:num>
  <w:num w:numId="8">
    <w:abstractNumId w:val="8"/>
  </w:num>
  <w:num w:numId="9">
    <w:abstractNumId w:val="0"/>
  </w:num>
  <w:num w:numId="10">
    <w:abstractNumId w:val="4"/>
  </w:num>
  <w:num w:numId="11">
    <w:abstractNumId w:val="14"/>
  </w:num>
  <w:num w:numId="12">
    <w:abstractNumId w:val="13"/>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85"/>
    <w:rsid w:val="00005143"/>
    <w:rsid w:val="0004431E"/>
    <w:rsid w:val="000C4629"/>
    <w:rsid w:val="000E4B2C"/>
    <w:rsid w:val="001C2679"/>
    <w:rsid w:val="002A7211"/>
    <w:rsid w:val="003169E9"/>
    <w:rsid w:val="003E01C5"/>
    <w:rsid w:val="003E2F47"/>
    <w:rsid w:val="003F36A3"/>
    <w:rsid w:val="00431F84"/>
    <w:rsid w:val="0043598D"/>
    <w:rsid w:val="004C3936"/>
    <w:rsid w:val="0054565E"/>
    <w:rsid w:val="00596AAE"/>
    <w:rsid w:val="006231A6"/>
    <w:rsid w:val="00631405"/>
    <w:rsid w:val="00677042"/>
    <w:rsid w:val="006D6246"/>
    <w:rsid w:val="006F221C"/>
    <w:rsid w:val="00737047"/>
    <w:rsid w:val="00803E39"/>
    <w:rsid w:val="0086255C"/>
    <w:rsid w:val="00885E29"/>
    <w:rsid w:val="008B5FE1"/>
    <w:rsid w:val="00955198"/>
    <w:rsid w:val="009D0B2C"/>
    <w:rsid w:val="009D6611"/>
    <w:rsid w:val="00A416D0"/>
    <w:rsid w:val="00A6613E"/>
    <w:rsid w:val="00A91E1A"/>
    <w:rsid w:val="00AC683C"/>
    <w:rsid w:val="00AE0F03"/>
    <w:rsid w:val="00B26985"/>
    <w:rsid w:val="00BA3A3E"/>
    <w:rsid w:val="00BA69C7"/>
    <w:rsid w:val="00CA12B4"/>
    <w:rsid w:val="00CC17B1"/>
    <w:rsid w:val="00DE5063"/>
    <w:rsid w:val="00E42FC2"/>
    <w:rsid w:val="00EA7AAE"/>
    <w:rsid w:val="00EC6305"/>
    <w:rsid w:val="00EF1273"/>
    <w:rsid w:val="00F2238A"/>
    <w:rsid w:val="00F554C8"/>
    <w:rsid w:val="00F65B77"/>
    <w:rsid w:val="00FC0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551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6985"/>
    <w:rPr>
      <w:b/>
      <w:bCs/>
    </w:rPr>
  </w:style>
  <w:style w:type="character" w:styleId="Accentuation">
    <w:name w:val="Emphasis"/>
    <w:basedOn w:val="Policepardfaut"/>
    <w:uiPriority w:val="20"/>
    <w:qFormat/>
    <w:rsid w:val="00B26985"/>
    <w:rPr>
      <w:i/>
      <w:iCs/>
    </w:rPr>
  </w:style>
  <w:style w:type="paragraph" w:styleId="Paragraphedeliste">
    <w:name w:val="List Paragraph"/>
    <w:basedOn w:val="Normal"/>
    <w:uiPriority w:val="34"/>
    <w:qFormat/>
    <w:rsid w:val="0054565E"/>
    <w:pPr>
      <w:ind w:left="720"/>
      <w:contextualSpacing/>
    </w:pPr>
  </w:style>
  <w:style w:type="paragraph" w:styleId="Textedebulles">
    <w:name w:val="Balloon Text"/>
    <w:basedOn w:val="Normal"/>
    <w:link w:val="TextedebullesCar"/>
    <w:uiPriority w:val="99"/>
    <w:semiHidden/>
    <w:unhideWhenUsed/>
    <w:rsid w:val="00803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E39"/>
    <w:rPr>
      <w:rFonts w:ascii="Tahoma" w:hAnsi="Tahoma" w:cs="Tahoma"/>
      <w:sz w:val="16"/>
      <w:szCs w:val="16"/>
    </w:rPr>
  </w:style>
  <w:style w:type="character" w:styleId="Lienhypertexte">
    <w:name w:val="Hyperlink"/>
    <w:basedOn w:val="Policepardfaut"/>
    <w:uiPriority w:val="99"/>
    <w:unhideWhenUsed/>
    <w:rsid w:val="00803E39"/>
    <w:rPr>
      <w:color w:val="0000FF" w:themeColor="hyperlink"/>
      <w:u w:val="single"/>
    </w:rPr>
  </w:style>
  <w:style w:type="paragraph" w:styleId="NormalWeb">
    <w:name w:val="Normal (Web)"/>
    <w:basedOn w:val="Normal"/>
    <w:uiPriority w:val="99"/>
    <w:semiHidden/>
    <w:unhideWhenUsed/>
    <w:rsid w:val="00803E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55198"/>
    <w:rPr>
      <w:rFonts w:ascii="Times New Roman" w:eastAsia="Times New Roman" w:hAnsi="Times New Roman" w:cs="Times New Roman"/>
      <w:b/>
      <w:bCs/>
      <w:sz w:val="36"/>
      <w:szCs w:val="36"/>
      <w:lang w:eastAsia="fr-FR"/>
    </w:rPr>
  </w:style>
  <w:style w:type="character" w:customStyle="1" w:styleId="element-invisible">
    <w:name w:val="element-invisible"/>
    <w:basedOn w:val="Policepardfaut"/>
    <w:rsid w:val="00955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551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6985"/>
    <w:rPr>
      <w:b/>
      <w:bCs/>
    </w:rPr>
  </w:style>
  <w:style w:type="character" w:styleId="Accentuation">
    <w:name w:val="Emphasis"/>
    <w:basedOn w:val="Policepardfaut"/>
    <w:uiPriority w:val="20"/>
    <w:qFormat/>
    <w:rsid w:val="00B26985"/>
    <w:rPr>
      <w:i/>
      <w:iCs/>
    </w:rPr>
  </w:style>
  <w:style w:type="paragraph" w:styleId="Paragraphedeliste">
    <w:name w:val="List Paragraph"/>
    <w:basedOn w:val="Normal"/>
    <w:uiPriority w:val="34"/>
    <w:qFormat/>
    <w:rsid w:val="0054565E"/>
    <w:pPr>
      <w:ind w:left="720"/>
      <w:contextualSpacing/>
    </w:pPr>
  </w:style>
  <w:style w:type="paragraph" w:styleId="Textedebulles">
    <w:name w:val="Balloon Text"/>
    <w:basedOn w:val="Normal"/>
    <w:link w:val="TextedebullesCar"/>
    <w:uiPriority w:val="99"/>
    <w:semiHidden/>
    <w:unhideWhenUsed/>
    <w:rsid w:val="00803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3E39"/>
    <w:rPr>
      <w:rFonts w:ascii="Tahoma" w:hAnsi="Tahoma" w:cs="Tahoma"/>
      <w:sz w:val="16"/>
      <w:szCs w:val="16"/>
    </w:rPr>
  </w:style>
  <w:style w:type="character" w:styleId="Lienhypertexte">
    <w:name w:val="Hyperlink"/>
    <w:basedOn w:val="Policepardfaut"/>
    <w:uiPriority w:val="99"/>
    <w:unhideWhenUsed/>
    <w:rsid w:val="00803E39"/>
    <w:rPr>
      <w:color w:val="0000FF" w:themeColor="hyperlink"/>
      <w:u w:val="single"/>
    </w:rPr>
  </w:style>
  <w:style w:type="paragraph" w:styleId="NormalWeb">
    <w:name w:val="Normal (Web)"/>
    <w:basedOn w:val="Normal"/>
    <w:uiPriority w:val="99"/>
    <w:semiHidden/>
    <w:unhideWhenUsed/>
    <w:rsid w:val="00803E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955198"/>
    <w:rPr>
      <w:rFonts w:ascii="Times New Roman" w:eastAsia="Times New Roman" w:hAnsi="Times New Roman" w:cs="Times New Roman"/>
      <w:b/>
      <w:bCs/>
      <w:sz w:val="36"/>
      <w:szCs w:val="36"/>
      <w:lang w:eastAsia="fr-FR"/>
    </w:rPr>
  </w:style>
  <w:style w:type="character" w:customStyle="1" w:styleId="element-invisible">
    <w:name w:val="element-invisible"/>
    <w:basedOn w:val="Policepardfaut"/>
    <w:rsid w:val="00955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6114">
      <w:bodyDiv w:val="1"/>
      <w:marLeft w:val="0"/>
      <w:marRight w:val="0"/>
      <w:marTop w:val="0"/>
      <w:marBottom w:val="0"/>
      <w:divBdr>
        <w:top w:val="none" w:sz="0" w:space="0" w:color="auto"/>
        <w:left w:val="none" w:sz="0" w:space="0" w:color="auto"/>
        <w:bottom w:val="none" w:sz="0" w:space="0" w:color="auto"/>
        <w:right w:val="none" w:sz="0" w:space="0" w:color="auto"/>
      </w:divBdr>
    </w:div>
    <w:div w:id="724110560">
      <w:bodyDiv w:val="1"/>
      <w:marLeft w:val="0"/>
      <w:marRight w:val="0"/>
      <w:marTop w:val="0"/>
      <w:marBottom w:val="0"/>
      <w:divBdr>
        <w:top w:val="none" w:sz="0" w:space="0" w:color="auto"/>
        <w:left w:val="none" w:sz="0" w:space="0" w:color="auto"/>
        <w:bottom w:val="none" w:sz="0" w:space="0" w:color="auto"/>
        <w:right w:val="none" w:sz="0" w:space="0" w:color="auto"/>
      </w:divBdr>
      <w:divsChild>
        <w:div w:id="287663525">
          <w:marLeft w:val="0"/>
          <w:marRight w:val="0"/>
          <w:marTop w:val="0"/>
          <w:marBottom w:val="0"/>
          <w:divBdr>
            <w:top w:val="none" w:sz="0" w:space="0" w:color="auto"/>
            <w:left w:val="none" w:sz="0" w:space="0" w:color="auto"/>
            <w:bottom w:val="none" w:sz="0" w:space="0" w:color="auto"/>
            <w:right w:val="none" w:sz="0" w:space="0" w:color="auto"/>
          </w:divBdr>
        </w:div>
      </w:divsChild>
    </w:div>
    <w:div w:id="764495320">
      <w:bodyDiv w:val="1"/>
      <w:marLeft w:val="0"/>
      <w:marRight w:val="0"/>
      <w:marTop w:val="0"/>
      <w:marBottom w:val="0"/>
      <w:divBdr>
        <w:top w:val="none" w:sz="0" w:space="0" w:color="auto"/>
        <w:left w:val="none" w:sz="0" w:space="0" w:color="auto"/>
        <w:bottom w:val="none" w:sz="0" w:space="0" w:color="auto"/>
        <w:right w:val="none" w:sz="0" w:space="0" w:color="auto"/>
      </w:divBdr>
    </w:div>
    <w:div w:id="1684480630">
      <w:bodyDiv w:val="1"/>
      <w:marLeft w:val="0"/>
      <w:marRight w:val="0"/>
      <w:marTop w:val="0"/>
      <w:marBottom w:val="0"/>
      <w:divBdr>
        <w:top w:val="none" w:sz="0" w:space="0" w:color="auto"/>
        <w:left w:val="none" w:sz="0" w:space="0" w:color="auto"/>
        <w:bottom w:val="none" w:sz="0" w:space="0" w:color="auto"/>
        <w:right w:val="none" w:sz="0" w:space="0" w:color="auto"/>
      </w:divBdr>
    </w:div>
    <w:div w:id="1987930060">
      <w:bodyDiv w:val="1"/>
      <w:marLeft w:val="0"/>
      <w:marRight w:val="0"/>
      <w:marTop w:val="0"/>
      <w:marBottom w:val="0"/>
      <w:divBdr>
        <w:top w:val="none" w:sz="0" w:space="0" w:color="auto"/>
        <w:left w:val="none" w:sz="0" w:space="0" w:color="auto"/>
        <w:bottom w:val="none" w:sz="0" w:space="0" w:color="auto"/>
        <w:right w:val="none" w:sz="0" w:space="0" w:color="auto"/>
      </w:divBdr>
      <w:divsChild>
        <w:div w:id="407118980">
          <w:marLeft w:val="0"/>
          <w:marRight w:val="0"/>
          <w:marTop w:val="0"/>
          <w:marBottom w:val="0"/>
          <w:divBdr>
            <w:top w:val="none" w:sz="0" w:space="0" w:color="auto"/>
            <w:left w:val="none" w:sz="0" w:space="0" w:color="auto"/>
            <w:bottom w:val="none" w:sz="0" w:space="0" w:color="auto"/>
            <w:right w:val="none" w:sz="0" w:space="0" w:color="auto"/>
          </w:divBdr>
        </w:div>
      </w:divsChild>
    </w:div>
    <w:div w:id="20864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nsdememoire.gouv.fr/fr/www.cheminsdememoire.gouv.fr/fr/le-temps-des-operations-exterieures" TargetMode="External"/><Relationship Id="rId13" Type="http://schemas.openxmlformats.org/officeDocument/2006/relationships/hyperlink" Target="http://www.cheminsdememoire.gouv.fr/fr/www.cheminsdememoire.gouv.fr/fr/lannee-1991" TargetMode="External"/><Relationship Id="rId18" Type="http://schemas.openxmlformats.org/officeDocument/2006/relationships/hyperlink" Target="http://archives.ecpad.fr/wp-content/uploads/2010/06/evacuation.pdf" TargetMode="External"/><Relationship Id="rId3" Type="http://schemas.microsoft.com/office/2007/relationships/stylesWithEffects" Target="stylesWithEffects.xml"/><Relationship Id="rId21" Type="http://schemas.openxmlformats.org/officeDocument/2006/relationships/hyperlink" Target="http://www.cdef.terre.defense.gouv.fr/publications/cahiers_drex/cahier_recherche/20150930_NP_CDEF_DREX_50-ans-d-OPEX-Afrique.htm" TargetMode="External"/><Relationship Id="rId7" Type="http://schemas.openxmlformats.org/officeDocument/2006/relationships/image" Target="media/image1.jpeg"/><Relationship Id="rId12" Type="http://schemas.openxmlformats.org/officeDocument/2006/relationships/hyperlink" Target="http://www.ecpad.fr/tag/thema-daguet" TargetMode="External"/><Relationship Id="rId17" Type="http://schemas.openxmlformats.org/officeDocument/2006/relationships/hyperlink" Target="http://www.ecpad.fr/tag/thema-bosni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r.calameo.com/read/0005423654ffdf0a71199" TargetMode="External"/><Relationship Id="rId20" Type="http://schemas.openxmlformats.org/officeDocument/2006/relationships/hyperlink" Target="http://rha.revues.org/index7214.html" TargetMode="External"/><Relationship Id="rId1" Type="http://schemas.openxmlformats.org/officeDocument/2006/relationships/numbering" Target="numbering.xml"/><Relationship Id="rId6" Type="http://schemas.openxmlformats.org/officeDocument/2006/relationships/hyperlink" Target="mailto:dmpa.bapi.fct@intradef.gouv.fr" TargetMode="External"/><Relationship Id="rId11" Type="http://schemas.openxmlformats.org/officeDocument/2006/relationships/hyperlink" Target="http://www.calameo.com/read/000331627369c69300e4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minsdememoire.gouv.fr/fr/www.cheminsdememoire.gouv.fr/fr/desert-storm-et-loperation-daguet-vingt-ans-apres" TargetMode="External"/><Relationship Id="rId23" Type="http://schemas.openxmlformats.org/officeDocument/2006/relationships/hyperlink" Target="http://www.cheminsdememoire.gouv.fr/fr/operation-leopard" TargetMode="External"/><Relationship Id="rId10" Type="http://schemas.openxmlformats.org/officeDocument/2006/relationships/hyperlink" Target="http://www.cheminsdememoire.gouv.fr/fr/www.cheminsdememoire.gouv.fr/fr/leurope-face-la-crise-yougoslave" TargetMode="External"/><Relationship Id="rId19" Type="http://schemas.openxmlformats.org/officeDocument/2006/relationships/hyperlink" Target="http://www.defense.gouv.fr/dgris/reflexion-strategique/prospective-de-defense/rapport-la-france-et-la-securite-en-asie-pacifique" TargetMode="External"/><Relationship Id="rId4" Type="http://schemas.openxmlformats.org/officeDocument/2006/relationships/settings" Target="settings.xml"/><Relationship Id="rId9" Type="http://schemas.openxmlformats.org/officeDocument/2006/relationships/hyperlink" Target="http://www.calameo.com/read/00033162724f05d10de04" TargetMode="External"/><Relationship Id="rId14" Type="http://schemas.openxmlformats.org/officeDocument/2006/relationships/hyperlink" Target="http://fr.calameo.com/read/0005423654ffdf0a71199" TargetMode="External"/><Relationship Id="rId22" Type="http://schemas.openxmlformats.org/officeDocument/2006/relationships/hyperlink" Target="http://www.cheminsdememoire.gouv.fr/fr/operation-leop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848</Words>
  <Characters>4665</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Baptiste AC</dc:creator>
  <cp:lastModifiedBy>PRADAS-BILLAUD Hélène ATTACHE  PR.MINDEF</cp:lastModifiedBy>
  <cp:revision>3</cp:revision>
  <dcterms:created xsi:type="dcterms:W3CDTF">2017-03-08T13:51:00Z</dcterms:created>
  <dcterms:modified xsi:type="dcterms:W3CDTF">2017-03-08T14:02:00Z</dcterms:modified>
</cp:coreProperties>
</file>